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8002" w14:textId="2412E71E" w:rsidR="006C6B8D" w:rsidRDefault="006C6B8D" w:rsidP="006C6B8D">
      <w:pPr>
        <w:jc w:val="center"/>
        <w:rPr>
          <w:b/>
          <w:bCs/>
        </w:rPr>
      </w:pPr>
      <w:r>
        <w:rPr>
          <w:b/>
          <w:bCs/>
        </w:rPr>
        <w:t>TD Histoire de l’islam – Laure Pesquet, Sorbonne Université – Mardi 6 février 2024</w:t>
      </w:r>
    </w:p>
    <w:p w14:paraId="6D3A4C9B" w14:textId="3D276481" w:rsidR="002D3D2D" w:rsidRDefault="0038243D" w:rsidP="006C6B8D">
      <w:pPr>
        <w:jc w:val="center"/>
        <w:rPr>
          <w:b/>
          <w:bCs/>
        </w:rPr>
      </w:pPr>
      <w:r w:rsidRPr="006C6B8D">
        <w:rPr>
          <w:b/>
          <w:bCs/>
        </w:rPr>
        <w:t xml:space="preserve">Commentaire de texte </w:t>
      </w:r>
      <w:r w:rsidR="00026548" w:rsidRPr="006C6B8D">
        <w:rPr>
          <w:b/>
          <w:bCs/>
        </w:rPr>
        <w:t>– Réforme ottomane du droit de la famille</w:t>
      </w:r>
    </w:p>
    <w:p w14:paraId="367EC6BA" w14:textId="77777777" w:rsidR="006C6B8D" w:rsidRPr="006C6B8D" w:rsidRDefault="006C6B8D" w:rsidP="006C6B8D">
      <w:pPr>
        <w:jc w:val="center"/>
        <w:rPr>
          <w:b/>
          <w:bCs/>
        </w:rPr>
      </w:pPr>
    </w:p>
    <w:p w14:paraId="08B3B66F" w14:textId="479C8561" w:rsidR="0038243D" w:rsidRDefault="0038243D" w:rsidP="006C6B8D">
      <w:pPr>
        <w:spacing w:line="360" w:lineRule="auto"/>
        <w:ind w:firstLine="708"/>
        <w:jc w:val="both"/>
      </w:pPr>
      <w:r>
        <w:t xml:space="preserve">En 1917, dans le contexte de la Première Guerre mondiale, le gouvernement </w:t>
      </w:r>
      <w:r w:rsidR="006C6B8D">
        <w:t xml:space="preserve">ottoman </w:t>
      </w:r>
      <w:r>
        <w:t xml:space="preserve">adopta une loi sur la famille. </w:t>
      </w:r>
      <w:r w:rsidR="00F15B95">
        <w:t>Cette loi</w:t>
      </w:r>
      <w:r w:rsidR="006C6B8D">
        <w:t xml:space="preserve"> répondait aux besoins d</w:t>
      </w:r>
      <w:r w:rsidR="00F15B95">
        <w:t>’unifier les dispositions du droit islamique (</w:t>
      </w:r>
      <w:r w:rsidR="00F15B95" w:rsidRPr="00F15B95">
        <w:rPr>
          <w:i/>
          <w:iCs/>
        </w:rPr>
        <w:t>fiqh</w:t>
      </w:r>
      <w:r w:rsidR="00F15B95">
        <w:t xml:space="preserve">) qui concernaient le mariage, la vie conjugale, le divorce et l’héritage, absentes du premier code civil ottoman, </w:t>
      </w:r>
      <w:r w:rsidR="00F15B95">
        <w:t xml:space="preserve">le </w:t>
      </w:r>
      <w:proofErr w:type="spellStart"/>
      <w:r w:rsidR="00F15B95" w:rsidRPr="00456A03">
        <w:rPr>
          <w:i/>
          <w:iCs/>
        </w:rPr>
        <w:t>Medjelle</w:t>
      </w:r>
      <w:proofErr w:type="spellEnd"/>
      <w:r w:rsidR="00F15B95">
        <w:t xml:space="preserve"> de 1876-1877, </w:t>
      </w:r>
      <w:r w:rsidR="00F15B95">
        <w:t>qui avait codifié le droit hanéfite</w:t>
      </w:r>
      <w:r w:rsidR="00F15B95">
        <w:t xml:space="preserve"> </w:t>
      </w:r>
      <w:r w:rsidR="00F15B95">
        <w:t>afin de répondre aux</w:t>
      </w:r>
      <w:r w:rsidR="00F15B95">
        <w:t xml:space="preserve"> </w:t>
      </w:r>
      <w:r w:rsidR="00F15B95">
        <w:t xml:space="preserve">besoins des </w:t>
      </w:r>
      <w:r w:rsidR="00F15B95">
        <w:t xml:space="preserve">tribunaux </w:t>
      </w:r>
      <w:r w:rsidR="00F15B95">
        <w:t xml:space="preserve">de commerce dont les affaires pouvaient à la fois relever de la </w:t>
      </w:r>
      <w:proofErr w:type="spellStart"/>
      <w:r w:rsidR="00F15B95" w:rsidRPr="00456A03">
        <w:rPr>
          <w:i/>
          <w:iCs/>
        </w:rPr>
        <w:t>shar</w:t>
      </w:r>
      <w:r w:rsidR="00456A03">
        <w:rPr>
          <w:i/>
          <w:iCs/>
        </w:rPr>
        <w:t>î</w:t>
      </w:r>
      <w:r w:rsidR="00F15B95" w:rsidRPr="00456A03">
        <w:rPr>
          <w:i/>
          <w:iCs/>
        </w:rPr>
        <w:t>’a</w:t>
      </w:r>
      <w:proofErr w:type="spellEnd"/>
      <w:r w:rsidR="00F15B95">
        <w:t xml:space="preserve"> et du </w:t>
      </w:r>
      <w:r w:rsidR="00456A03">
        <w:t>droit commercial</w:t>
      </w:r>
      <w:r w:rsidR="00F15B95">
        <w:t>. Dans le mémorandum introductif de la loi sur la famille, l</w:t>
      </w:r>
      <w:r w:rsidR="006C6B8D">
        <w:t>e gouvernement justifiait l’adoption de</w:t>
      </w:r>
      <w:r w:rsidR="00F15B95">
        <w:t xml:space="preserve"> ce texte</w:t>
      </w:r>
      <w:r w:rsidR="006C6B8D">
        <w:t xml:space="preserve"> en affirmant que les juges </w:t>
      </w:r>
      <w:r w:rsidR="00F15B95">
        <w:t>ne possédaient plus</w:t>
      </w:r>
      <w:r w:rsidR="00026548">
        <w:t xml:space="preserve"> « les connaissances spéciales et le savoir étendu</w:t>
      </w:r>
      <w:r w:rsidR="00026548">
        <w:t xml:space="preserve"> pour faire un choix entre les différentes opinions des doc</w:t>
      </w:r>
      <w:r w:rsidR="00F15B95">
        <w:t xml:space="preserve">teurs </w:t>
      </w:r>
      <w:r w:rsidR="00456A03">
        <w:t>e</w:t>
      </w:r>
      <w:r w:rsidR="00026548">
        <w:t>t tirer ainsi un jugement du fiq</w:t>
      </w:r>
      <w:r w:rsidR="00F15B95">
        <w:t>h</w:t>
      </w:r>
      <w:r w:rsidR="006C6B8D">
        <w:t> »</w:t>
      </w:r>
      <w:r w:rsidR="0014492C">
        <w:t xml:space="preserve"> </w:t>
      </w:r>
      <w:r w:rsidR="00026548">
        <w:t xml:space="preserve">(l. 14-16).  </w:t>
      </w:r>
    </w:p>
    <w:p w14:paraId="6C35B6CA" w14:textId="77777777" w:rsidR="00456A03" w:rsidRDefault="0014492C" w:rsidP="006C6B8D">
      <w:pPr>
        <w:spacing w:line="360" w:lineRule="auto"/>
        <w:ind w:firstLine="360"/>
        <w:jc w:val="both"/>
      </w:pPr>
      <w:r>
        <w:t>Par exemple, p</w:t>
      </w:r>
      <w:r w:rsidR="00026548">
        <w:t>our limiter la polygamie, la loi eut recourt au droit hanbalite « </w:t>
      </w:r>
      <w:r w:rsidR="0038243D">
        <w:t>qui permet l’insertion dans le contrat de mariage d’une clause interdisant à l’époux de se remarier tant que subsiste le mariage. Or, cette clause de monogamie est considérée comme nulle et non avenue par le droit hanéfite.</w:t>
      </w:r>
      <w:r w:rsidR="00026548">
        <w:t xml:space="preserve"> » </w:t>
      </w:r>
      <w:r w:rsidR="00456A03">
        <w:t xml:space="preserve">Les mariages forcés furent interdits « en imposant que le mariage soit constaté par un écrit établi devant [un juge], et en fixant un âge minimum. »  </w:t>
      </w:r>
      <w:r w:rsidR="00026548">
        <w:t xml:space="preserve">(Jacques </w:t>
      </w:r>
      <w:proofErr w:type="spellStart"/>
      <w:r w:rsidR="00026548">
        <w:t>Lafon</w:t>
      </w:r>
      <w:proofErr w:type="spellEnd"/>
      <w:r w:rsidR="00026548">
        <w:t xml:space="preserve">) </w:t>
      </w:r>
    </w:p>
    <w:p w14:paraId="0D661ABC" w14:textId="72C0DEF1" w:rsidR="0014492C" w:rsidRDefault="00026548" w:rsidP="006C6B8D">
      <w:pPr>
        <w:spacing w:line="360" w:lineRule="auto"/>
        <w:ind w:firstLine="360"/>
        <w:jc w:val="both"/>
      </w:pPr>
      <w:r>
        <w:t xml:space="preserve">« Certaines formes de répudiation – comme celles prononcées en état d’ivresse – </w:t>
      </w:r>
      <w:r w:rsidR="0014492C">
        <w:t xml:space="preserve">furent </w:t>
      </w:r>
      <w:r>
        <w:t>déclarées nulles, ce qui constituait une exigence des réformistes musulmans depuis des années, voire des décennies » (Bernard-Maugiron) « </w:t>
      </w:r>
      <w:r w:rsidR="0038243D">
        <w:t>Enfin, le texte incorpore les dispositions relatives aux non-musulmans, qui conservent donc leur spécificité, mais à l’intérieur d’un document unique</w:t>
      </w:r>
      <w:r>
        <w:t>. » (</w:t>
      </w:r>
      <w:proofErr w:type="spellStart"/>
      <w:r>
        <w:t>Lafon</w:t>
      </w:r>
      <w:proofErr w:type="spellEnd"/>
      <w:r>
        <w:t>)</w:t>
      </w:r>
    </w:p>
    <w:p w14:paraId="55B0263F" w14:textId="77777777" w:rsidR="006C6B8D" w:rsidRDefault="006C6B8D" w:rsidP="006C6B8D">
      <w:pPr>
        <w:spacing w:line="360" w:lineRule="auto"/>
        <w:ind w:firstLine="360"/>
        <w:jc w:val="both"/>
      </w:pPr>
    </w:p>
    <w:p w14:paraId="430855BE" w14:textId="260CF0B5" w:rsidR="0014492C" w:rsidRPr="0014492C" w:rsidRDefault="0014492C" w:rsidP="006C6B8D">
      <w:pPr>
        <w:pStyle w:val="Paragraphedeliste"/>
        <w:numPr>
          <w:ilvl w:val="0"/>
          <w:numId w:val="2"/>
        </w:numPr>
        <w:spacing w:line="360" w:lineRule="auto"/>
        <w:rPr>
          <w:b/>
          <w:bCs/>
        </w:rPr>
      </w:pPr>
      <w:r w:rsidRPr="0014492C">
        <w:rPr>
          <w:b/>
          <w:bCs/>
        </w:rPr>
        <w:t>Une nouvelle conception du droit</w:t>
      </w:r>
    </w:p>
    <w:p w14:paraId="377353B8" w14:textId="5100C5F3" w:rsidR="0014492C" w:rsidRDefault="0014492C" w:rsidP="006C6B8D">
      <w:pPr>
        <w:pStyle w:val="Paragraphedeliste"/>
        <w:numPr>
          <w:ilvl w:val="0"/>
          <w:numId w:val="4"/>
        </w:numPr>
        <w:spacing w:line="360" w:lineRule="auto"/>
      </w:pPr>
      <w:r>
        <w:t xml:space="preserve">La codification </w:t>
      </w:r>
      <w:r w:rsidR="00B17DCA">
        <w:t xml:space="preserve">du </w:t>
      </w:r>
      <w:r w:rsidR="00B17DCA" w:rsidRPr="00F15B95">
        <w:rPr>
          <w:i/>
          <w:iCs/>
        </w:rPr>
        <w:t>fiqh</w:t>
      </w:r>
      <w:r w:rsidRPr="00F15B95">
        <w:rPr>
          <w:i/>
          <w:iCs/>
        </w:rPr>
        <w:t xml:space="preserve"> </w:t>
      </w:r>
      <w:r w:rsidR="00B17DCA">
        <w:t>par l’État ottoman</w:t>
      </w:r>
      <w:r w:rsidR="006C6B8D">
        <w:t>, une histoire ancienne</w:t>
      </w:r>
    </w:p>
    <w:p w14:paraId="64BD8457" w14:textId="752FE899" w:rsidR="00B17DCA" w:rsidRDefault="00B17DCA" w:rsidP="006C6B8D">
      <w:pPr>
        <w:pStyle w:val="Paragraphedeliste"/>
        <w:numPr>
          <w:ilvl w:val="0"/>
          <w:numId w:val="4"/>
        </w:numPr>
        <w:spacing w:line="360" w:lineRule="auto"/>
      </w:pPr>
      <w:r>
        <w:t xml:space="preserve">La spécificité du « statut personnel », une invention </w:t>
      </w:r>
      <w:r w:rsidR="006C6B8D">
        <w:t>égyptienne</w:t>
      </w:r>
    </w:p>
    <w:p w14:paraId="61D2A21A" w14:textId="4561D635" w:rsidR="0014492C" w:rsidRPr="00B17DCA" w:rsidRDefault="0014492C" w:rsidP="006C6B8D">
      <w:pPr>
        <w:pStyle w:val="Paragraphedeliste"/>
        <w:numPr>
          <w:ilvl w:val="0"/>
          <w:numId w:val="2"/>
        </w:numPr>
        <w:spacing w:line="360" w:lineRule="auto"/>
        <w:rPr>
          <w:b/>
          <w:bCs/>
        </w:rPr>
      </w:pPr>
      <w:r w:rsidRPr="00B17DCA">
        <w:rPr>
          <w:b/>
          <w:bCs/>
        </w:rPr>
        <w:t>Réformer la famille au nom du bien-être national</w:t>
      </w:r>
    </w:p>
    <w:p w14:paraId="46E3898D" w14:textId="00DEB75D" w:rsidR="0014492C" w:rsidRDefault="0014492C" w:rsidP="006C6B8D">
      <w:pPr>
        <w:pStyle w:val="Paragraphedeliste"/>
        <w:numPr>
          <w:ilvl w:val="0"/>
          <w:numId w:val="3"/>
        </w:numPr>
        <w:spacing w:line="360" w:lineRule="auto"/>
      </w:pPr>
      <w:r>
        <w:t>Protéger les mineurs</w:t>
      </w:r>
      <w:r w:rsidR="00B17DCA">
        <w:t xml:space="preserve"> </w:t>
      </w:r>
      <w:r>
        <w:t>contre le mariage forcé</w:t>
      </w:r>
    </w:p>
    <w:p w14:paraId="66BCAF50" w14:textId="23AEEBCD" w:rsidR="0014492C" w:rsidRDefault="0014492C" w:rsidP="006C6B8D">
      <w:pPr>
        <w:pStyle w:val="Paragraphedeliste"/>
        <w:numPr>
          <w:ilvl w:val="0"/>
          <w:numId w:val="3"/>
        </w:numPr>
        <w:spacing w:line="360" w:lineRule="auto"/>
      </w:pPr>
      <w:r>
        <w:t>Faire de la famille « une entreprise » heureuse et stable</w:t>
      </w:r>
    </w:p>
    <w:p w14:paraId="47288BC8" w14:textId="77777777" w:rsidR="00B17DCA" w:rsidRDefault="00B17DCA" w:rsidP="006C6B8D">
      <w:pPr>
        <w:pStyle w:val="Paragraphedeliste"/>
        <w:spacing w:line="240" w:lineRule="auto"/>
        <w:ind w:left="1440"/>
      </w:pPr>
    </w:p>
    <w:p w14:paraId="5673D0A3" w14:textId="77777777" w:rsidR="00B17DCA" w:rsidRDefault="00B17DCA" w:rsidP="006C6B8D">
      <w:pPr>
        <w:pStyle w:val="Paragraphedeliste"/>
        <w:spacing w:line="240" w:lineRule="auto"/>
        <w:ind w:left="1440"/>
      </w:pPr>
    </w:p>
    <w:p w14:paraId="0082B92A" w14:textId="77777777" w:rsidR="00B17DCA" w:rsidRDefault="00B17DCA" w:rsidP="006C6B8D">
      <w:pPr>
        <w:pStyle w:val="Paragraphedeliste"/>
        <w:spacing w:line="240" w:lineRule="auto"/>
        <w:ind w:left="0"/>
      </w:pPr>
      <w:r>
        <w:t xml:space="preserve">Sources : </w:t>
      </w:r>
    </w:p>
    <w:p w14:paraId="32A548DA" w14:textId="77777777" w:rsidR="00B17DCA" w:rsidRDefault="00B17DCA" w:rsidP="006C6B8D">
      <w:pPr>
        <w:pStyle w:val="Paragraphedeliste"/>
        <w:spacing w:line="240" w:lineRule="auto"/>
        <w:ind w:left="1440"/>
      </w:pPr>
    </w:p>
    <w:p w14:paraId="1287FB6A" w14:textId="0B341E9B" w:rsidR="00B17DCA" w:rsidRDefault="00B17DCA" w:rsidP="006C6B8D">
      <w:pPr>
        <w:pStyle w:val="Paragraphedeliste"/>
        <w:spacing w:line="240" w:lineRule="auto"/>
        <w:ind w:left="0"/>
      </w:pPr>
      <w:proofErr w:type="spellStart"/>
      <w:r>
        <w:t>LAFON</w:t>
      </w:r>
      <w:proofErr w:type="spellEnd"/>
      <w:r>
        <w:t>, Jacques</w:t>
      </w:r>
      <w:r>
        <w:t>,</w:t>
      </w:r>
      <w:r>
        <w:t xml:space="preserve"> </w:t>
      </w:r>
      <w:r>
        <w:t>« </w:t>
      </w:r>
      <w:r w:rsidRPr="00B17DCA">
        <w:rPr>
          <w:rStyle w:val="Accentuation"/>
          <w:i w:val="0"/>
          <w:iCs w:val="0"/>
        </w:rPr>
        <w:t>Typologie des codifications proche-orientales</w:t>
      </w:r>
      <w:r>
        <w:rPr>
          <w:rStyle w:val="Accentuation"/>
        </w:rPr>
        <w:t> »</w:t>
      </w:r>
      <w:r>
        <w:t>, in</w:t>
      </w:r>
      <w:r>
        <w:t xml:space="preserve"> </w:t>
      </w:r>
      <w:r>
        <w:rPr>
          <w:rStyle w:val="Accentuation"/>
        </w:rPr>
        <w:t>Itinéraires de l’histoire du droit à la diplomatie culturelle et à l’histoire coloniale</w:t>
      </w:r>
      <w:r>
        <w:t xml:space="preserve">, </w:t>
      </w:r>
      <w:r>
        <w:t>Paris</w:t>
      </w:r>
      <w:r>
        <w:t xml:space="preserve">, </w:t>
      </w:r>
      <w:r>
        <w:t>Éditions de la Sorbonne, 2001</w:t>
      </w:r>
      <w:r>
        <w:t xml:space="preserve">, </w:t>
      </w:r>
      <w:hyperlink r:id="rId5" w:history="1">
        <w:r w:rsidRPr="00BA71CB">
          <w:rPr>
            <w:rStyle w:val="Lienhypertexte"/>
          </w:rPr>
          <w:t>http://books.openedition.org/psorbonne/103115</w:t>
        </w:r>
      </w:hyperlink>
      <w:r>
        <w:t xml:space="preserve">, dernière consultation le 6 février 2024. </w:t>
      </w:r>
    </w:p>
    <w:p w14:paraId="682DD118" w14:textId="77777777" w:rsidR="00B17DCA" w:rsidRDefault="00B17DCA" w:rsidP="006C6B8D">
      <w:pPr>
        <w:pStyle w:val="Paragraphedeliste"/>
        <w:spacing w:line="240" w:lineRule="auto"/>
        <w:ind w:left="1440"/>
      </w:pPr>
    </w:p>
    <w:p w14:paraId="7455FA1F" w14:textId="5430892A" w:rsidR="00B17DCA" w:rsidRDefault="00B17DCA" w:rsidP="006C6B8D">
      <w:pPr>
        <w:pStyle w:val="Paragraphedeliste"/>
        <w:spacing w:line="240" w:lineRule="auto"/>
        <w:ind w:left="0"/>
      </w:pPr>
      <w:r>
        <w:t>BERNARD-MAUGIRON, Nathalie, « </w:t>
      </w:r>
      <w:r>
        <w:t>Droit du statut personnel et transformations de la famille au Maghreb et au Proche-Orient, de la fin du XIXe siècle au début du XXIe siècle : l’évolution des codes de la famille face aux relations conjugales</w:t>
      </w:r>
      <w:r>
        <w:t xml:space="preserve"> », </w:t>
      </w:r>
      <w:r w:rsidRPr="00B17DCA">
        <w:rPr>
          <w:i/>
          <w:iCs/>
        </w:rPr>
        <w:t>Annales de démographie historique</w:t>
      </w:r>
      <w:r>
        <w:t xml:space="preserve"> (à paraître).</w:t>
      </w:r>
    </w:p>
    <w:sectPr w:rsidR="00B1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A61"/>
    <w:multiLevelType w:val="hybridMultilevel"/>
    <w:tmpl w:val="DABCFB48"/>
    <w:lvl w:ilvl="0" w:tplc="5D26D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977"/>
    <w:multiLevelType w:val="hybridMultilevel"/>
    <w:tmpl w:val="A6802AF8"/>
    <w:lvl w:ilvl="0" w:tplc="6A70C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52CF"/>
    <w:multiLevelType w:val="hybridMultilevel"/>
    <w:tmpl w:val="B54CCFC2"/>
    <w:lvl w:ilvl="0" w:tplc="72D496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BC1025"/>
    <w:multiLevelType w:val="hybridMultilevel"/>
    <w:tmpl w:val="003E8642"/>
    <w:lvl w:ilvl="0" w:tplc="E236B8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4437654">
    <w:abstractNumId w:val="0"/>
  </w:num>
  <w:num w:numId="2" w16cid:durableId="301693057">
    <w:abstractNumId w:val="1"/>
  </w:num>
  <w:num w:numId="3" w16cid:durableId="1768965022">
    <w:abstractNumId w:val="2"/>
  </w:num>
  <w:num w:numId="4" w16cid:durableId="148592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3D"/>
    <w:rsid w:val="00026548"/>
    <w:rsid w:val="0014492C"/>
    <w:rsid w:val="002D3D2D"/>
    <w:rsid w:val="0038243D"/>
    <w:rsid w:val="00456A03"/>
    <w:rsid w:val="00460D42"/>
    <w:rsid w:val="006C6B8D"/>
    <w:rsid w:val="007741AE"/>
    <w:rsid w:val="00A33B43"/>
    <w:rsid w:val="00A410CA"/>
    <w:rsid w:val="00B17DCA"/>
    <w:rsid w:val="00CC7BAA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AFBD"/>
  <w15:chartTrackingRefBased/>
  <w15:docId w15:val="{F61CB708-8007-48F4-9CC1-044A33B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hdSoussoustitre">
    <w:name w:val="Phd Sous sous titre"/>
    <w:next w:val="Normal"/>
    <w:qFormat/>
    <w:rsid w:val="00A33B43"/>
    <w:pPr>
      <w:widowControl w:val="0"/>
      <w:suppressAutoHyphens/>
      <w:autoSpaceDN w:val="0"/>
      <w:spacing w:before="200" w:line="240" w:lineRule="auto"/>
      <w:textAlignment w:val="baseline"/>
    </w:pPr>
    <w:rPr>
      <w:rFonts w:ascii="Times New Roman" w:eastAsia="Times New Roman" w:hAnsi="Times New Roman" w:cs="Times New Roman"/>
      <w:i/>
      <w:color w:val="000000"/>
      <w:kern w:val="3"/>
      <w:sz w:val="24"/>
      <w:szCs w:val="24"/>
      <w:lang w:eastAsia="zh-CN" w:bidi="ar-EG"/>
      <w14:ligatures w14:val="none"/>
    </w:rPr>
  </w:style>
  <w:style w:type="paragraph" w:styleId="Paragraphedeliste">
    <w:name w:val="List Paragraph"/>
    <w:basedOn w:val="Normal"/>
    <w:uiPriority w:val="34"/>
    <w:qFormat/>
    <w:rsid w:val="0038243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17DCA"/>
    <w:rPr>
      <w:i/>
      <w:iCs/>
    </w:rPr>
  </w:style>
  <w:style w:type="character" w:styleId="Lienhypertexte">
    <w:name w:val="Hyperlink"/>
    <w:basedOn w:val="Policepardfaut"/>
    <w:uiPriority w:val="99"/>
    <w:unhideWhenUsed/>
    <w:rsid w:val="00B17D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.openedition.org/psorbonne/103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SOLANS</dc:creator>
  <cp:keywords/>
  <dc:description/>
  <cp:lastModifiedBy>Abel SOLANS</cp:lastModifiedBy>
  <cp:revision>1</cp:revision>
  <dcterms:created xsi:type="dcterms:W3CDTF">2024-02-06T10:43:00Z</dcterms:created>
  <dcterms:modified xsi:type="dcterms:W3CDTF">2024-02-06T11:46:00Z</dcterms:modified>
</cp:coreProperties>
</file>